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JZX-2025-082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sz w:val="24"/>
          <w:szCs w:val="24"/>
          <w:shd w:val="clear" w:color="auto" w:fill="FFFFFF"/>
          <w:lang w:val="en-US" w:eastAsia="zh-CN" w:bidi="ar"/>
        </w:rPr>
        <w:t>2025年度上海市健康科普专项计划视频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首次公告日期：2025年11月5日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更正内容：本项目报名截至时间延期至2025年11月12日下午16：00；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延期至2025年11月17日下午16：00,。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D1F32F4"/>
    <w:rsid w:val="323B4D81"/>
    <w:rsid w:val="34B70380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169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2025-11-10T00:23:45Z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D9B9094AA37E424BA7ECE5B495BD01F1_13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