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处方前置审核系统维保服务项目采购公告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imes New Roman" w:hAnsi="Times New Roman" w:eastAsia="宋体" w:cs="宋体"/>
          <w:kern w:val="0"/>
          <w:sz w:val="24"/>
        </w:rPr>
        <w:t>处方前置审核系统维保服务</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kern w:val="0"/>
          <w:sz w:val="24"/>
        </w:rPr>
        <w:t>处方前置审核系统维保服务</w:t>
      </w:r>
      <w:r>
        <w:rPr>
          <w:rFonts w:hint="eastAsia" w:ascii="宋体" w:hAnsi="宋体" w:eastAsia="宋体" w:cs="宋体"/>
          <w:kern w:val="0"/>
          <w:sz w:val="24"/>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w:t>
      </w:r>
      <w:r>
        <w:rPr>
          <w:rFonts w:hint="eastAsia" w:ascii="Times New Roman" w:hAnsi="Times New Roman" w:eastAsia="宋体" w:cs="宋体"/>
          <w:kern w:val="0"/>
          <w:sz w:val="24"/>
          <w:szCs w:val="32"/>
        </w:rPr>
        <w:t>对处方前置审核系统提供产品维保服务</w:t>
      </w:r>
      <w:bookmarkStart w:id="0" w:name="_GoBack"/>
      <w:bookmarkEnd w:id="0"/>
      <w:r>
        <w:rPr>
          <w:rFonts w:ascii="Times New Roman" w:hAnsi="Times New Roman" w:eastAsia="宋体" w:cs="宋体"/>
          <w:kern w:val="0"/>
          <w:sz w:val="24"/>
          <w:szCs w:val="32"/>
        </w:rPr>
        <w:t>，包括故障排除、性能调优、技术咨询等。根据软件维保要求，结合医院实际应用情况，为医院提供优质的维保服务</w:t>
      </w:r>
      <w:r>
        <w:rPr>
          <w:rFonts w:hint="eastAsia" w:ascii="Times New Roman" w:hAnsi="Times New Roman" w:eastAsia="宋体" w:cs="宋体"/>
          <w:kern w:val="0"/>
          <w:sz w:val="24"/>
          <w:szCs w:val="32"/>
          <w:lang w:eastAsia="zh-CN"/>
        </w:rPr>
        <w:t>，</w:t>
      </w:r>
      <w:r>
        <w:rPr>
          <w:rFonts w:ascii="Times New Roman" w:hAnsi="Times New Roman" w:eastAsia="宋体" w:cs="宋体"/>
          <w:kern w:val="0"/>
          <w:sz w:val="24"/>
          <w:szCs w:val="32"/>
        </w:rPr>
        <w:t>确保医院处方前置审核系统项目安全稳定运行</w:t>
      </w:r>
      <w:r>
        <w:rPr>
          <w:rFonts w:hint="eastAsia" w:ascii="Times New Roman" w:hAnsi="Times New Roman" w:eastAsia="宋体" w:cs="宋体"/>
          <w:b w:val="0"/>
          <w:bCs w:val="0"/>
          <w:sz w:val="24"/>
          <w:szCs w:val="24"/>
          <w:lang w:val="en-US"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99000元/年</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JZX-2025-076</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27日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8A82120"/>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64B167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3280F7F"/>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1201</Words>
  <Characters>1290</Characters>
  <Lines>0</Lines>
  <Paragraphs>0</Paragraphs>
  <TotalTime>0</TotalTime>
  <ScaleCrop>false</ScaleCrop>
  <LinksUpToDate>false</LinksUpToDate>
  <CharactersWithSpaces>1588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2025-10-23T08:41:24Z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1861163F5A17473FA736D4826E92554F_13</vt:lpwstr>
  </property>
  <property fmtid="{D5CDD505-2E9C-101B-9397-08002B2CF9AE}" pid="6" name="KSOTemplateDocerSaveRecord">
    <vt:lpwstr>eyJoZGlkIjoiYWRjOTk0NTRiZjM0OTM4OTdkMTk1MDUzMGE1ODA1YTYiLCJ1c2VySWQiOiIzNjM0MjI1MzkifQ==</vt:lpwstr>
  </property>
</Properties>
</file>