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both"/>
        <w:rPr>
          <w:b/>
        </w:rPr>
      </w:pPr>
      <w:r>
        <w:rPr>
          <w:rFonts w:ascii="微软雅黑" w:hAnsi="微软雅黑" w:eastAsia="微软雅黑"/>
          <w:b/>
          <w:sz w:val="28"/>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-333375</wp:posOffset>
                </wp:positionV>
                <wp:extent cx="6421755" cy="318135"/>
                <wp:effectExtent l="0" t="0" r="17145" b="5715"/>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318135"/>
                        </a:xfrm>
                        <a:prstGeom prst="rect">
                          <a:avLst/>
                        </a:prstGeom>
                        <a:solidFill>
                          <a:srgbClr val="FFFFFF"/>
                        </a:solidFill>
                        <a:ln>
                          <a:noFill/>
                        </a:ln>
                      </wps:spPr>
                      <wps:txb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4.5pt;margin-top:-26.25pt;height:25.05pt;width:505.65pt;z-index:251659264;mso-width-relative:page;mso-height-relative:page;" fillcolor="#FFFFFF" filled="t" stroked="f" coordsize="21600,21600" o:gfxdata="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lPJDNkAAAAK&#10;AQAADwAAAAAAAAABACAAAAAiAAAAZHJzL2Rvd25yZXYueG1sUEsBAhQAFAAAAAgAh07iQCLtD10b&#10;AgAAPQQAAA4AAAAAAAAAAQAgAAAAKAEAAGRycy9lMm9Eb2MueG1sUEsFBgAAAAAGAAYAWQEAALUF&#10;AAAAAA==&#10;">
                <v:fill on="t" focussize="0,0"/>
                <v:stroke on="f"/>
                <v:imagedata o:title=""/>
                <o:lock v:ext="edit" aspectratio="f"/>
                <v:textbo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0</wp:posOffset>
                </wp:positionV>
                <wp:extent cx="5676900" cy="635"/>
                <wp:effectExtent l="0" t="0" r="19050" b="37465"/>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0pt;height:0.05pt;width:447pt;z-index:251660288;mso-width-relative:page;mso-height-relative:page;" filled="f" stroked="t" coordsize="21600,21600" o:gfxdata="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sGSe0QAAAAUBAAAPAAAAAAAAAAEAIAAAACIA&#10;AABkcnMvZG93bnJldi54bWxQSwECFAAUAAAACACHTuJAaKA4BNcBAAC1AwAADgAAAAAAAAABACAA&#10;AAAgAQAAZHJzL2Uyb0RvYy54bWxQSwUGAAAAAAYABgBZAQAAaQUAAAAA&#10;">
                <v:fill on="f" focussize="0,0"/>
                <v:stroke weight="1.5pt" color="#000000" joinstyle="round"/>
                <v:imagedata o:title=""/>
                <o:lock v:ext="edit" aspectratio="f"/>
              </v:shape>
            </w:pict>
          </mc:Fallback>
        </mc:AlternateContent>
      </w:r>
    </w:p>
    <w:p>
      <w:pPr>
        <w:jc w:val="center"/>
        <w:rPr>
          <w:b/>
          <w:bCs/>
          <w:sz w:val="28"/>
          <w:szCs w:val="28"/>
        </w:rPr>
      </w:pPr>
      <w:r>
        <w:rPr>
          <w:b/>
          <w:bCs/>
          <w:sz w:val="28"/>
          <w:szCs w:val="28"/>
        </w:rPr>
        <w:t>流程7--受试者不依从/方案违背审查申请流程说明</w:t>
      </w:r>
    </w:p>
    <w:p/>
    <w:p>
      <w:pPr>
        <w:ind w:firstLine="420" w:firstLineChars="200"/>
      </w:pPr>
      <w:r>
        <w:t>您好！为了规范伦理委员会对研究项目的管理，提高伦理委员会的审查效率，提高主要研究者对伦理送审流程和试验规范性的认识，凡研究者向伦理委员会发起受试者不依从/方案违背审查申请，需根据以下要求进行：</w:t>
      </w:r>
    </w:p>
    <w:p>
      <w:r>
        <w:t>一、流程说明</w:t>
      </w:r>
    </w:p>
    <w:p>
      <w:r>
        <w:t>1．</w:t>
      </w:r>
      <w:r>
        <w:rPr>
          <w:rFonts w:hint="eastAsia"/>
        </w:rPr>
        <w:t>登录https://www.jdhospital.com/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r>
        <w:t>；</w:t>
      </w:r>
    </w:p>
    <w:p>
      <w:r>
        <w:t>2．下载Form 1《伦理审查申请及受理表》</w:t>
      </w:r>
    </w:p>
    <w:p>
      <w:r>
        <w:t>要求：</w:t>
      </w:r>
    </w:p>
    <w:p>
      <w:r>
        <w:t>1)根据实际的项目信息填写申请表，填写方法详见申请表填表批注。；</w:t>
      </w:r>
    </w:p>
    <w:p>
      <w:r>
        <w:t>2)审查类别勾选 “违背方案审查”；</w:t>
      </w:r>
    </w:p>
    <w:p>
      <w:r>
        <w:t>3)持续审查送审文件清单中勾选对应文件；</w:t>
      </w:r>
    </w:p>
    <w:p>
      <w:r>
        <w:t>4)申请表需主要研究者及申办方签字；</w:t>
      </w:r>
    </w:p>
    <w:p>
      <w:r>
        <w:t>5)申请表及所有文件需电子打印，除签字外不可随意涂改；</w:t>
      </w:r>
    </w:p>
    <w:p>
      <w:r>
        <w:t>3.下载Form 12 《受试者不依从或违背方案报告模板》</w:t>
      </w:r>
    </w:p>
    <w:p>
      <w:r>
        <w:t>要求：</w:t>
      </w:r>
    </w:p>
    <w:p>
      <w:r>
        <w:t>1）根据表格要求填写报告；</w:t>
      </w:r>
    </w:p>
    <w:p>
      <w:r>
        <w:t>2）主要研究者签字</w:t>
      </w:r>
    </w:p>
    <w:p>
      <w:r>
        <w:t>3）表格需电子打印，除签字外不可随意涂改。</w:t>
      </w:r>
    </w:p>
    <w:p>
      <w:r>
        <w:t>二、送审前的行政管理</w:t>
      </w:r>
    </w:p>
    <w:p>
      <w:r>
        <w:t>1.确认项目初始审查的归口部门，若为GCP办公室，则所有文件递交至伦理委员会前应先备案至GCP办公室。若为科研处，可直接交至伦理委员会。</w:t>
      </w:r>
    </w:p>
    <w:p>
      <w:r>
        <w:t>三、送审时限说明</w:t>
      </w:r>
    </w:p>
    <w:p>
      <w:r>
        <w:t>主要研究者应在发现研究人员发生违背方案或受试者发生不依从方案之后，尽快按要求报告至伦理委员会。</w:t>
      </w:r>
    </w:p>
    <w:p>
      <w:r>
        <w:t>四、 审查形式说明</w:t>
      </w:r>
    </w:p>
    <w:p>
      <w:r>
        <w:t>1.严重违背为会议审查；</w:t>
      </w:r>
    </w:p>
    <w:p>
      <w:r>
        <w:t>2.轻度违背为快速审查。</w:t>
      </w:r>
    </w:p>
    <w:p>
      <w:r>
        <w:t>五、审查安排</w:t>
      </w:r>
    </w:p>
    <w:p>
      <w:r>
        <w:t>1.会议审查：除伦理委员会指明要求外，PI不用到会汇报。会议审查后一周由伦理委员会通知PI领取意见函。</w:t>
      </w:r>
    </w:p>
    <w:p>
      <w:r>
        <w:t>2.快速审查：自秘书签收日期起</w:t>
      </w:r>
      <w:r>
        <w:rPr>
          <w:rFonts w:hint="eastAsia"/>
          <w:lang w:eastAsia="zh-CN"/>
        </w:rPr>
        <w:t>两</w:t>
      </w:r>
      <w:r>
        <w:t>周内由伦理委员会通知PI领取意见函。</w:t>
      </w:r>
    </w:p>
    <w:p>
      <w:r>
        <w:t>备注：若未根据要求送审，伦理委员会将不予以受理。</w:t>
      </w:r>
    </w:p>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NDU1ODM3MDA4YjFhM2FmYjgzOWE1NDJjMzIxMDcifQ=="/>
  </w:docVars>
  <w:rsids>
    <w:rsidRoot w:val="00712C23"/>
    <w:rsid w:val="00005DB4"/>
    <w:rsid w:val="00085295"/>
    <w:rsid w:val="000A0EEB"/>
    <w:rsid w:val="000B72C4"/>
    <w:rsid w:val="000E673F"/>
    <w:rsid w:val="00116200"/>
    <w:rsid w:val="00193F92"/>
    <w:rsid w:val="00210387"/>
    <w:rsid w:val="00271734"/>
    <w:rsid w:val="002E0C86"/>
    <w:rsid w:val="003100E0"/>
    <w:rsid w:val="0032226D"/>
    <w:rsid w:val="003C5524"/>
    <w:rsid w:val="00412D22"/>
    <w:rsid w:val="00425558"/>
    <w:rsid w:val="004B22C8"/>
    <w:rsid w:val="004C198B"/>
    <w:rsid w:val="005653D0"/>
    <w:rsid w:val="005709B4"/>
    <w:rsid w:val="00582A27"/>
    <w:rsid w:val="005854D0"/>
    <w:rsid w:val="005B090F"/>
    <w:rsid w:val="005F0314"/>
    <w:rsid w:val="00712C23"/>
    <w:rsid w:val="00725C0F"/>
    <w:rsid w:val="007859F6"/>
    <w:rsid w:val="007D35C0"/>
    <w:rsid w:val="00835826"/>
    <w:rsid w:val="00842152"/>
    <w:rsid w:val="008531C6"/>
    <w:rsid w:val="0094050F"/>
    <w:rsid w:val="00943D56"/>
    <w:rsid w:val="00957A42"/>
    <w:rsid w:val="00992F40"/>
    <w:rsid w:val="009C73D9"/>
    <w:rsid w:val="00B1720D"/>
    <w:rsid w:val="00B44BD0"/>
    <w:rsid w:val="00B74FDE"/>
    <w:rsid w:val="00BF399A"/>
    <w:rsid w:val="00C15D9D"/>
    <w:rsid w:val="00C62A74"/>
    <w:rsid w:val="00C70CE7"/>
    <w:rsid w:val="00C7280C"/>
    <w:rsid w:val="00C91FBB"/>
    <w:rsid w:val="00D15318"/>
    <w:rsid w:val="00D766B6"/>
    <w:rsid w:val="00DB2603"/>
    <w:rsid w:val="00E155D8"/>
    <w:rsid w:val="00E5219A"/>
    <w:rsid w:val="00F22C82"/>
    <w:rsid w:val="00F733C9"/>
    <w:rsid w:val="00F91B52"/>
    <w:rsid w:val="00F964DE"/>
    <w:rsid w:val="23D23C6F"/>
    <w:rsid w:val="2D6C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styleId="11">
    <w:name w:val="annotation reference"/>
    <w:basedOn w:val="8"/>
    <w:semiHidden/>
    <w:unhideWhenUsed/>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uiPriority w:val="99"/>
    <w:rPr>
      <w:b/>
      <w:bCs/>
    </w:rPr>
  </w:style>
  <w:style w:type="character" w:customStyle="1" w:styleId="15">
    <w:name w:val="批注框文本 字符"/>
    <w:basedOn w:val="8"/>
    <w:link w:val="3"/>
    <w:semiHidden/>
    <w:qFormat/>
    <w:uiPriority w:val="99"/>
    <w:rPr>
      <w:sz w:val="18"/>
      <w:szCs w:val="18"/>
    </w:rPr>
  </w:style>
  <w:style w:type="character" w:customStyle="1" w:styleId="16">
    <w:name w:val="页眉 字符"/>
    <w:basedOn w:val="8"/>
    <w:link w:val="5"/>
    <w:qFormat/>
    <w:uiPriority w:val="99"/>
    <w:rPr>
      <w:sz w:val="18"/>
      <w:szCs w:val="18"/>
    </w:rPr>
  </w:style>
  <w:style w:type="character" w:customStyle="1" w:styleId="17">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588</Characters>
  <Lines>4</Lines>
  <Paragraphs>1</Paragraphs>
  <TotalTime>0</TotalTime>
  <ScaleCrop>false</ScaleCrop>
  <LinksUpToDate>false</LinksUpToDate>
  <CharactersWithSpaces>689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2021-06-09T03:15:00Z</dcterms:created>
  <dc:creator>pc</dc:creator>
  <cp:lastModifiedBy>LGS</cp:lastModifiedBy>
  <cp:lastPrinted>2021-06-09T03:14:00Z</cp:lastPrinted>
  <dcterms:modified xsi:type="dcterms:W3CDTF">2024-10-24T07:41:27Z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84E3327852ED41719BE9255840F8455F_13</vt:lpwstr>
  </property>
</Properties>
</file>