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5D9EF">
      <w:pPr>
        <w:jc w:val="center"/>
        <w:rPr>
          <w:rFonts w:ascii="微软雅黑" w:hAnsi="微软雅黑" w:eastAsia="微软雅黑"/>
          <w:b/>
          <w:sz w:val="28"/>
        </w:rPr>
      </w:pPr>
      <w:r>
        <w:rPr>
          <w:rFonts w:ascii="微软雅黑" w:hAnsi="微软雅黑" w:eastAsia="微软雅黑"/>
          <w:b/>
          <w:sz w:val="28"/>
        </w:rPr>
        <mc:AlternateContent>
          <mc:Choice Requires="wps">
            <w:drawing>
              <wp:anchor distT="0" distB="0" distL="114300" distR="114300" simplePos="0" relativeHeight="251659264" behindDoc="0" locked="0" layoutInCell="1" allowOverlap="1">
                <wp:simplePos x="0" y="0"/>
                <wp:positionH relativeFrom="column">
                  <wp:posOffset>-421005</wp:posOffset>
                </wp:positionH>
                <wp:positionV relativeFrom="paragraph">
                  <wp:posOffset>-386715</wp:posOffset>
                </wp:positionV>
                <wp:extent cx="6421755" cy="328295"/>
                <wp:effectExtent l="0" t="0" r="17145" b="14605"/>
                <wp:wrapNone/>
                <wp:docPr id="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421755" cy="328295"/>
                        </a:xfrm>
                        <a:prstGeom prst="rect">
                          <a:avLst/>
                        </a:prstGeom>
                        <a:solidFill>
                          <a:srgbClr val="FFFFFF"/>
                        </a:solidFill>
                        <a:ln>
                          <a:noFill/>
                        </a:ln>
                      </wps:spPr>
                      <wps:txbx>
                        <w:txbxContent>
                          <w:p w14:paraId="1824C9AE">
                            <w:pPr>
                              <w:jc w:val="center"/>
                              <w:rPr>
                                <w:rFonts w:hint="eastAsia" w:eastAsiaTheme="minorEastAsia"/>
                                <w:b/>
                                <w:bCs/>
                                <w:sz w:val="24"/>
                                <w:szCs w:val="24"/>
                                <w:lang w:eastAsia="zh-CN"/>
                              </w:rPr>
                            </w:pPr>
                            <w:r>
                              <w:rPr>
                                <w:rFonts w:hint="eastAsia"/>
                                <w:b/>
                                <w:bCs/>
                                <w:sz w:val="24"/>
                                <w:szCs w:val="24"/>
                                <w:lang w:eastAsia="zh-CN"/>
                              </w:rPr>
                              <w:t>嘉定区中心医院医学研究伦理委员会</w:t>
                            </w: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33.15pt;margin-top:-30.45pt;height:25.85pt;width:505.65pt;z-index:251659264;mso-width-relative:page;mso-height-relative:page;" fillcolor="#FFFFFF" filled="t" stroked="f" coordsize="21600,21600" o:gfxdata="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7thsY2AAAAAoB&#10;AAAPAAAAAAAAAAEAIAAAACIAAABkcnMvZG93bnJldi54bWxQSwECFAAUAAAACACHTuJAFY6wexsC&#10;AAA9BAAADgAAAAAAAAABACAAAAAnAQAAZHJzL2Uyb0RvYy54bWxQSwUGAAAAAAYABgBZAQAAtAUA&#10;AAAA&#10;">
                <v:fill on="t" focussize="0,0"/>
                <v:stroke on="f"/>
                <v:imagedata o:title=""/>
                <o:lock v:ext="edit" aspectratio="f"/>
                <v:textbox>
                  <w:txbxContent>
                    <w:p w14:paraId="1824C9AE">
                      <w:pPr>
                        <w:jc w:val="center"/>
                        <w:rPr>
                          <w:rFonts w:hint="eastAsia" w:eastAsiaTheme="minorEastAsia"/>
                          <w:b/>
                          <w:bCs/>
                          <w:sz w:val="24"/>
                          <w:szCs w:val="24"/>
                          <w:lang w:eastAsia="zh-CN"/>
                        </w:rPr>
                      </w:pPr>
                      <w:r>
                        <w:rPr>
                          <w:rFonts w:hint="eastAsia"/>
                          <w:b/>
                          <w:bCs/>
                          <w:sz w:val="24"/>
                          <w:szCs w:val="24"/>
                          <w:lang w:eastAsia="zh-CN"/>
                        </w:rPr>
                        <w:t>嘉定区中心医院医学研究伦理委员会</w:t>
                      </w:r>
                    </w:p>
                  </w:txbxContent>
                </v:textbox>
              </v:shape>
            </w:pict>
          </mc:Fallback>
        </mc:AlternateContent>
      </w:r>
      <w:bookmarkStart w:id="0" w:name="_GoBack"/>
      <w:bookmarkEnd w:id="0"/>
      <w:r>
        <mc:AlternateContent>
          <mc:Choice Requires="wps">
            <w:drawing>
              <wp:anchor distT="0" distB="0" distL="114300" distR="114300" simplePos="0" relativeHeight="251662336" behindDoc="0" locked="0" layoutInCell="1" allowOverlap="1">
                <wp:simplePos x="0" y="0"/>
                <wp:positionH relativeFrom="column">
                  <wp:posOffset>5152390</wp:posOffset>
                </wp:positionH>
                <wp:positionV relativeFrom="paragraph">
                  <wp:posOffset>-627380</wp:posOffset>
                </wp:positionV>
                <wp:extent cx="1090930" cy="311785"/>
                <wp:effectExtent l="0" t="0" r="13970" b="12065"/>
                <wp:wrapNone/>
                <wp:docPr id="3" name="文本框 3"/>
                <wp:cNvGraphicFramePr/>
                <a:graphic xmlns:a="http://schemas.openxmlformats.org/drawingml/2006/main">
                  <a:graphicData uri="http://schemas.microsoft.com/office/word/2010/wordprocessingShape">
                    <wps:wsp>
                      <wps:cNvSpPr txBox="1"/>
                      <wps:spPr>
                        <a:xfrm>
                          <a:off x="6104890" y="226695"/>
                          <a:ext cx="1090930" cy="3117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4A26E4E">
                            <w:pPr>
                              <w:rPr>
                                <w:color w:val="8497B0" w:themeColor="text2" w:themeTint="99"/>
                                <w14:textFill>
                                  <w14:solidFill>
                                    <w14:schemeClr w14:val="tx2">
                                      <w14:lumMod w14:val="60000"/>
                                      <w14:lumOff w14:val="40000"/>
                                    </w14:schemeClr>
                                  </w14:solidFill>
                                </w14:textFill>
                              </w:rPr>
                            </w:pPr>
                            <w:r>
                              <w:rPr>
                                <w:rFonts w:hint="eastAsia"/>
                                <w:color w:val="8497B0" w:themeColor="text2" w:themeTint="99"/>
                                <w:lang w:val="en-US" w:eastAsia="zh-CN"/>
                                <w14:textFill>
                                  <w14:solidFill>
                                    <w14:schemeClr w14:val="tx2">
                                      <w14:lumMod w14:val="60000"/>
                                      <w14:lumOff w14:val="40000"/>
                                    </w14:schemeClr>
                                  </w14:solidFill>
                                </w14:textFill>
                              </w:rPr>
                              <w:t>1</w:t>
                            </w:r>
                            <w:r>
                              <w:rPr>
                                <w:rFonts w:hint="eastAsia"/>
                                <w:color w:val="8497B0" w:themeColor="text2" w:themeTint="99"/>
                                <w14:textFill>
                                  <w14:solidFill>
                                    <w14:schemeClr w14:val="tx2">
                                      <w14:lumMod w14:val="60000"/>
                                      <w14:lumOff w14:val="40000"/>
                                    </w14:schemeClr>
                                  </w14:solidFill>
                                </w14:textFill>
                              </w:rPr>
                              <w:t>.0/202</w:t>
                            </w:r>
                            <w:r>
                              <w:rPr>
                                <w:rFonts w:hint="eastAsia"/>
                                <w:color w:val="8497B0" w:themeColor="text2" w:themeTint="99"/>
                                <w:lang w:val="en-US" w:eastAsia="zh-CN"/>
                                <w14:textFill>
                                  <w14:solidFill>
                                    <w14:schemeClr w14:val="tx2">
                                      <w14:lumMod w14:val="60000"/>
                                      <w14:lumOff w14:val="40000"/>
                                    </w14:schemeClr>
                                  </w14:solidFill>
                                </w14:textFill>
                              </w:rPr>
                              <w:t>4</w:t>
                            </w:r>
                            <w:r>
                              <w:rPr>
                                <w:rFonts w:hint="eastAsia"/>
                                <w:color w:val="8497B0" w:themeColor="text2" w:themeTint="99"/>
                                <w14:textFill>
                                  <w14:solidFill>
                                    <w14:schemeClr w14:val="tx2">
                                      <w14:lumMod w14:val="60000"/>
                                      <w14:lumOff w14:val="40000"/>
                                    </w14:schemeClr>
                                  </w14:solidFill>
                                </w14:textFill>
                              </w:rPr>
                              <w:t>.</w:t>
                            </w:r>
                            <w:r>
                              <w:rPr>
                                <w:rFonts w:hint="eastAsia"/>
                                <w:color w:val="8497B0" w:themeColor="text2" w:themeTint="99"/>
                                <w:lang w:val="en-US" w:eastAsia="zh-CN"/>
                                <w14:textFill>
                                  <w14:solidFill>
                                    <w14:schemeClr w14:val="tx2">
                                      <w14:lumMod w14:val="60000"/>
                                      <w14:lumOff w14:val="40000"/>
                                    </w14:schemeClr>
                                  </w14:solidFill>
                                </w14:textFill>
                              </w:rPr>
                              <w:t>08</w:t>
                            </w:r>
                            <w:r>
                              <w:rPr>
                                <w:rFonts w:hint="eastAsia"/>
                                <w:color w:val="8497B0" w:themeColor="text2" w:themeTint="99"/>
                                <w14:textFill>
                                  <w14:solidFill>
                                    <w14:schemeClr w14:val="tx2">
                                      <w14:lumMod w14:val="60000"/>
                                      <w14:lumOff w14:val="40000"/>
                                    </w14:schemeClr>
                                  </w14:solidFill>
                                </w14:textFill>
                              </w:rPr>
                              <w:t>.</w:t>
                            </w:r>
                            <w:r>
                              <w:rPr>
                                <w:rFonts w:hint="eastAsia"/>
                                <w:color w:val="8497B0" w:themeColor="text2" w:themeTint="99"/>
                                <w:lang w:val="en-US" w:eastAsia="zh-CN"/>
                                <w14:textFill>
                                  <w14:solidFill>
                                    <w14:schemeClr w14:val="tx2">
                                      <w14:lumMod w14:val="60000"/>
                                      <w14:lumOff w14:val="40000"/>
                                    </w14:schemeClr>
                                  </w14:solidFill>
                                </w14:textFill>
                              </w:rPr>
                              <w:t>0</w:t>
                            </w:r>
                            <w:r>
                              <w:rPr>
                                <w:rFonts w:hint="eastAsia"/>
                                <w:color w:val="8497B0" w:themeColor="text2" w:themeTint="99"/>
                                <w14:textFill>
                                  <w14:solidFill>
                                    <w14:schemeClr w14:val="tx2">
                                      <w14:lumMod w14:val="60000"/>
                                      <w14:lumOff w14:val="40000"/>
                                    </w14:schemeClr>
                                  </w14:solidFill>
                                </w14:textFill>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5.7pt;margin-top:-49.4pt;height:24.55pt;width:85.9pt;z-index:251662336;mso-width-relative:page;mso-height-relative:page;" fillcolor="#FFFFFF [3201]" filled="t" stroked="f" coordsize="21600,21600" o:gfxdata="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K8+F+&#10;1gAAAAsBAAAPAAAAAAAAAAEAIAAAACIAAABkcnMvZG93bnJldi54bWxQSwECFAAUAAAACACHTuJA&#10;cPVmeVwCAACaBAAADgAAAAAAAAABACAAAAAlAQAAZHJzL2Uyb0RvYy54bWxQSwUGAAAAAAYABgBZ&#10;AQAA8wUAAAAA&#10;">
                <v:fill on="t" focussize="0,0"/>
                <v:stroke on="f" weight="0.5pt"/>
                <v:imagedata o:title=""/>
                <o:lock v:ext="edit" aspectratio="f"/>
                <v:textbox>
                  <w:txbxContent>
                    <w:p w14:paraId="34A26E4E">
                      <w:pPr>
                        <w:rPr>
                          <w:color w:val="8497B0" w:themeColor="text2" w:themeTint="99"/>
                          <w14:textFill>
                            <w14:solidFill>
                              <w14:schemeClr w14:val="tx2">
                                <w14:lumMod w14:val="60000"/>
                                <w14:lumOff w14:val="40000"/>
                              </w14:schemeClr>
                            </w14:solidFill>
                          </w14:textFill>
                        </w:rPr>
                      </w:pPr>
                      <w:r>
                        <w:rPr>
                          <w:rFonts w:hint="eastAsia"/>
                          <w:color w:val="8497B0" w:themeColor="text2" w:themeTint="99"/>
                          <w:lang w:val="en-US" w:eastAsia="zh-CN"/>
                          <w14:textFill>
                            <w14:solidFill>
                              <w14:schemeClr w14:val="tx2">
                                <w14:lumMod w14:val="60000"/>
                                <w14:lumOff w14:val="40000"/>
                              </w14:schemeClr>
                            </w14:solidFill>
                          </w14:textFill>
                        </w:rPr>
                        <w:t>1</w:t>
                      </w:r>
                      <w:r>
                        <w:rPr>
                          <w:rFonts w:hint="eastAsia"/>
                          <w:color w:val="8497B0" w:themeColor="text2" w:themeTint="99"/>
                          <w14:textFill>
                            <w14:solidFill>
                              <w14:schemeClr w14:val="tx2">
                                <w14:lumMod w14:val="60000"/>
                                <w14:lumOff w14:val="40000"/>
                              </w14:schemeClr>
                            </w14:solidFill>
                          </w14:textFill>
                        </w:rPr>
                        <w:t>.0/202</w:t>
                      </w:r>
                      <w:r>
                        <w:rPr>
                          <w:rFonts w:hint="eastAsia"/>
                          <w:color w:val="8497B0" w:themeColor="text2" w:themeTint="99"/>
                          <w:lang w:val="en-US" w:eastAsia="zh-CN"/>
                          <w14:textFill>
                            <w14:solidFill>
                              <w14:schemeClr w14:val="tx2">
                                <w14:lumMod w14:val="60000"/>
                                <w14:lumOff w14:val="40000"/>
                              </w14:schemeClr>
                            </w14:solidFill>
                          </w14:textFill>
                        </w:rPr>
                        <w:t>4</w:t>
                      </w:r>
                      <w:r>
                        <w:rPr>
                          <w:rFonts w:hint="eastAsia"/>
                          <w:color w:val="8497B0" w:themeColor="text2" w:themeTint="99"/>
                          <w14:textFill>
                            <w14:solidFill>
                              <w14:schemeClr w14:val="tx2">
                                <w14:lumMod w14:val="60000"/>
                                <w14:lumOff w14:val="40000"/>
                              </w14:schemeClr>
                            </w14:solidFill>
                          </w14:textFill>
                        </w:rPr>
                        <w:t>.</w:t>
                      </w:r>
                      <w:r>
                        <w:rPr>
                          <w:rFonts w:hint="eastAsia"/>
                          <w:color w:val="8497B0" w:themeColor="text2" w:themeTint="99"/>
                          <w:lang w:val="en-US" w:eastAsia="zh-CN"/>
                          <w14:textFill>
                            <w14:solidFill>
                              <w14:schemeClr w14:val="tx2">
                                <w14:lumMod w14:val="60000"/>
                                <w14:lumOff w14:val="40000"/>
                              </w14:schemeClr>
                            </w14:solidFill>
                          </w14:textFill>
                        </w:rPr>
                        <w:t>08</w:t>
                      </w:r>
                      <w:r>
                        <w:rPr>
                          <w:rFonts w:hint="eastAsia"/>
                          <w:color w:val="8497B0" w:themeColor="text2" w:themeTint="99"/>
                          <w14:textFill>
                            <w14:solidFill>
                              <w14:schemeClr w14:val="tx2">
                                <w14:lumMod w14:val="60000"/>
                                <w14:lumOff w14:val="40000"/>
                              </w14:schemeClr>
                            </w14:solidFill>
                          </w14:textFill>
                        </w:rPr>
                        <w:t>.</w:t>
                      </w:r>
                      <w:r>
                        <w:rPr>
                          <w:rFonts w:hint="eastAsia"/>
                          <w:color w:val="8497B0" w:themeColor="text2" w:themeTint="99"/>
                          <w:lang w:val="en-US" w:eastAsia="zh-CN"/>
                          <w14:textFill>
                            <w14:solidFill>
                              <w14:schemeClr w14:val="tx2">
                                <w14:lumMod w14:val="60000"/>
                                <w14:lumOff w14:val="40000"/>
                              </w14:schemeClr>
                            </w14:solidFill>
                          </w14:textFill>
                        </w:rPr>
                        <w:t>0</w:t>
                      </w:r>
                      <w:r>
                        <w:rPr>
                          <w:rFonts w:hint="eastAsia"/>
                          <w:color w:val="8497B0" w:themeColor="text2" w:themeTint="99"/>
                          <w14:textFill>
                            <w14:solidFill>
                              <w14:schemeClr w14:val="tx2">
                                <w14:lumMod w14:val="60000"/>
                                <w14:lumOff w14:val="40000"/>
                              </w14:schemeClr>
                            </w14:solidFill>
                          </w14:textFill>
                        </w:rPr>
                        <w:t>1</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-219075</wp:posOffset>
                </wp:positionH>
                <wp:positionV relativeFrom="paragraph">
                  <wp:posOffset>-57150</wp:posOffset>
                </wp:positionV>
                <wp:extent cx="5676900" cy="635"/>
                <wp:effectExtent l="0" t="0" r="0" b="0"/>
                <wp:wrapNone/>
                <wp:docPr id="2" name="AutoShape 9"/>
                <wp:cNvGraphicFramePr/>
                <a:graphic xmlns:a="http://schemas.openxmlformats.org/drawingml/2006/main">
                  <a:graphicData uri="http://schemas.microsoft.com/office/word/2010/wordprocessingShape">
                    <wps:wsp>
                      <wps:cNvCnPr>
                        <a:cxnSpLocks noChangeShapeType="1"/>
                      </wps:cNvCnPr>
                      <wps:spPr bwMode="auto">
                        <a:xfrm>
                          <a:off x="0" y="0"/>
                          <a:ext cx="5676900" cy="635"/>
                        </a:xfrm>
                        <a:prstGeom prst="straightConnector1">
                          <a:avLst/>
                        </a:prstGeom>
                        <a:noFill/>
                        <a:ln w="19050">
                          <a:solidFill>
                            <a:srgbClr val="000000"/>
                          </a:solidFill>
                          <a:round/>
                        </a:ln>
                      </wps:spPr>
                      <wps:bodyPr/>
                    </wps:wsp>
                  </a:graphicData>
                </a:graphic>
              </wp:anchor>
            </w:drawing>
          </mc:Choice>
          <mc:Fallback>
            <w:pict>
              <v:shape id="AutoShape 9" o:spid="_x0000_s1026" o:spt="32" type="#_x0000_t32" style="position:absolute;left:0pt;margin-left:-17.25pt;margin-top:-4.5pt;height:0.05pt;width:447pt;z-index:251661312;mso-width-relative:page;mso-height-relative:page;" filled="f" stroked="t" coordsize="21600,21600" o:gfxdata="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YeTotUAAAAJAQAADwAAAAAAAAABACAA&#10;AAAiAAAAZHJzL2Rvd25yZXYueG1sUEsBAhQAFAAAAAgAh07iQGigOATXAQAAtQMAAA4AAAAAAAAA&#10;AQAgAAAAJAEAAGRycy9lMm9Eb2MueG1sUEsFBgAAAAAGAAYAWQEAAG0FAAAAAA==&#10;">
                <v:fill on="f" focussize="0,0"/>
                <v:stroke weight="1.5pt" color="#000000" joinstyle="round"/>
                <v:imagedata o:title=""/>
                <o:lock v:ext="edit" aspectratio="f"/>
              </v:shape>
            </w:pict>
          </mc:Fallback>
        </mc:AlternateContent>
      </w:r>
      <w:r>
        <w:rPr>
          <w:rFonts w:ascii="微软雅黑" w:hAnsi="微软雅黑" w:eastAsia="微软雅黑"/>
          <w:b/>
          <w:sz w:val="28"/>
        </w:rPr>
        <w:drawing>
          <wp:anchor distT="0" distB="0" distL="114300" distR="114300" simplePos="0" relativeHeight="251660288" behindDoc="0" locked="0" layoutInCell="1" allowOverlap="1">
            <wp:simplePos x="0" y="0"/>
            <wp:positionH relativeFrom="column">
              <wp:posOffset>-234315</wp:posOffset>
            </wp:positionH>
            <wp:positionV relativeFrom="paragraph">
              <wp:posOffset>-604520</wp:posOffset>
            </wp:positionV>
            <wp:extent cx="463550" cy="482600"/>
            <wp:effectExtent l="0" t="0" r="12700" b="12700"/>
            <wp:wrapNone/>
            <wp:docPr id="8" name="图片 4" descr="C:\Users\vip.vip-PC\Desktop\嘉中心医学研究伦理委员会sop\dc2531927517768006182fc75169546.pngdc2531927517768006182fc75169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C:\Users\vip.vip-PC\Desktop\嘉中心医学研究伦理委员会sop\dc2531927517768006182fc75169546.pngdc2531927517768006182fc75169546"/>
                    <pic:cNvPicPr>
                      <a:picLocks noChangeAspect="1" noChangeArrowheads="1"/>
                    </pic:cNvPicPr>
                  </pic:nvPicPr>
                  <pic:blipFill>
                    <a:blip r:embed="rId4"/>
                    <a:srcRect l="2039" r="2039"/>
                    <a:stretch>
                      <a:fillRect/>
                    </a:stretch>
                  </pic:blipFill>
                  <pic:spPr>
                    <a:xfrm>
                      <a:off x="0" y="0"/>
                      <a:ext cx="463550" cy="482600"/>
                    </a:xfrm>
                    <a:prstGeom prst="rect">
                      <a:avLst/>
                    </a:prstGeom>
                    <a:noFill/>
                    <a:ln w="9525">
                      <a:noFill/>
                      <a:miter lim="800000"/>
                      <a:headEnd/>
                      <a:tailEnd/>
                    </a:ln>
                  </pic:spPr>
                </pic:pic>
              </a:graphicData>
            </a:graphic>
          </wp:anchor>
        </w:drawing>
      </w:r>
      <w:r>
        <w:rPr>
          <w:rFonts w:ascii="微软雅黑" w:hAnsi="微软雅黑" w:eastAsia="微软雅黑"/>
          <w:b/>
          <w:sz w:val="28"/>
        </w:rPr>
        <w:t>流程2</w:t>
      </w:r>
      <w:r>
        <w:rPr>
          <w:rFonts w:hint="eastAsia" w:ascii="微软雅黑" w:hAnsi="微软雅黑" w:eastAsia="微软雅黑"/>
          <w:b/>
          <w:sz w:val="28"/>
        </w:rPr>
        <w:t>：</w:t>
      </w:r>
      <w:r>
        <w:rPr>
          <w:rFonts w:ascii="微软雅黑" w:hAnsi="微软雅黑" w:eastAsia="微软雅黑"/>
          <w:b/>
          <w:sz w:val="28"/>
        </w:rPr>
        <w:t>复审申请流程说明</w:t>
      </w:r>
    </w:p>
    <w:p w14:paraId="3F3C4D56">
      <w:r>
        <w:t xml:space="preserve">   您好！我们抱歉地通知您，您的项目未通过伦理委员会的审批，需根据《伦理审查意见函》进行修改，为了帮助您更有效率地完成复审程序，更快地获得伦理委员会的正式批件，请根据以下要求递交复审申请：</w:t>
      </w:r>
    </w:p>
    <w:p w14:paraId="73EDB433">
      <w:r>
        <w:t>一、流程说明</w:t>
      </w:r>
    </w:p>
    <w:p w14:paraId="0E3AC36F">
      <w:r>
        <w:t>1．登陆</w:t>
      </w:r>
      <w:r>
        <w:rPr>
          <w:rFonts w:hint="eastAsia"/>
        </w:rPr>
        <w:t>https://www.jdhospital.com/</w:t>
      </w:r>
      <w:r>
        <w:rPr>
          <w:rFonts w:hint="eastAsia"/>
          <w:lang w:val="en-US" w:eastAsia="zh-CN"/>
        </w:rPr>
        <w:t>-</w:t>
      </w:r>
      <w:r>
        <w:rPr>
          <w:rFonts w:hint="eastAsia"/>
          <w:lang w:eastAsia="zh-CN"/>
        </w:rPr>
        <w:t>信息公开</w:t>
      </w:r>
      <w:r>
        <w:rPr>
          <w:rFonts w:hint="eastAsia"/>
        </w:rPr>
        <w:t>-</w:t>
      </w:r>
      <w:r>
        <w:rPr>
          <w:rFonts w:hint="eastAsia"/>
          <w:lang w:eastAsia="zh-CN"/>
        </w:rPr>
        <w:t>伦理审查</w:t>
      </w:r>
      <w:r>
        <w:t>；</w:t>
      </w:r>
    </w:p>
    <w:p w14:paraId="4C606B81">
      <w:r>
        <w:t>2．下载Form 1《伦理审查申请及受理表》</w:t>
      </w:r>
    </w:p>
    <w:p w14:paraId="1DAC5E9F">
      <w:r>
        <w:t>要求：</w:t>
      </w:r>
    </w:p>
    <w:p w14:paraId="2DA0C2DE">
      <w:r>
        <w:t>1)根据最新的项目信息填写申请表，若更改了项目名称、主要研究者或参与单位具体情况等信息切记更新填写内容；并于送审时提醒签收人/使用标签告知，以确保批件制作时能够同步更新。</w:t>
      </w:r>
    </w:p>
    <w:p w14:paraId="5375C5B3">
      <w:r>
        <w:t>2)审查类别勾选“复审—修正后同意”/“复审—重审”；</w:t>
      </w:r>
    </w:p>
    <w:p w14:paraId="1BD2344A">
      <w:r>
        <w:t>3)送审文件清单中勾选修改的研究文件（未修改的不用勾选），所有复审研究文件版本号日期填写更新后的版本/日期，申请表需主要研究者签字。</w:t>
      </w:r>
    </w:p>
    <w:p w14:paraId="24AE315C">
      <w:r>
        <w:t>4)根据申请表末尾的送审要求装订材料（双孔装订，不同文件间用彩色隔页区分，电子版/纸质版各一份）</w:t>
      </w:r>
    </w:p>
    <w:p w14:paraId="0D0AC91E">
      <w:r>
        <w:t>3．下载Form 8《复审修正明细及审查意见回复函》</w:t>
      </w:r>
    </w:p>
    <w:p w14:paraId="6EC21902">
      <w:r>
        <w:t>要求：</w:t>
      </w:r>
    </w:p>
    <w:p w14:paraId="0592F2E9">
      <w:r>
        <w:t>1)此表共分两部分：一、修正明细；二、说明/回复。</w:t>
      </w:r>
    </w:p>
    <w:p w14:paraId="35D19183">
      <w:r>
        <w:t>2)在第一部分中根据《伦理审查意见函》上要求修改的内容修改研究文件，并将修改的具体内容前后对照分别书写在（修正前，修正后）中，请勿概括描述，应复制原文本内容和现文本内容，注意升级版本。</w:t>
      </w:r>
    </w:p>
    <w:p w14:paraId="5128BEE9">
      <w:r>
        <w:t>3)在第二部分中将所有审查意见罗列，并逐一针对其要求进行说明或解释。若已修改，可填写“已根据审查意见进行修改”，若对审查意见有质疑或无法修改，可针对该条意见进行回复解释并注明“详见附件+附件标题”（若解释内容较多可增加附件，附件须有标题及版本号版本日期，且须有申办方 盖章/PI签字）。</w:t>
      </w:r>
    </w:p>
    <w:p w14:paraId="41993E6B">
      <w:r>
        <w:t>4．根据Form 8 要求的复审送审文件清单，准备复审材料，尽快送审至伦理委员会。</w:t>
      </w:r>
    </w:p>
    <w:p w14:paraId="12773E08">
      <w:r>
        <w:t>5．除Form 1和Form 8外，所有文件需加盖申办方公章，方案需PI签字。科研/研究者自发项目不用盖公章，但更新的方案需PI签字。所有表格除签名外，全部电子填写，不得涂改</w:t>
      </w:r>
    </w:p>
    <w:p w14:paraId="342BC4B4">
      <w:r>
        <w:t>6．若为重审，则应在下次会议前至少一周将纸质版及电子版复审材料送审至伦理委员会，以确保能够尽快进入复审审核流程。</w:t>
      </w:r>
    </w:p>
    <w:p w14:paraId="40D14B5B">
      <w:r>
        <w:t>7．特殊情况：复审合并修正案</w:t>
      </w:r>
    </w:p>
    <w:p w14:paraId="6C53B62A">
      <w:r>
        <w:t>说明：若研究者在复审修改过程中发现除了审查意见外其他需要修改的内容，不得擅自跳版本升级方案/知情同意书等研究文件或在复审前擅自修正方案（如初始审查为1.0版，复审直接跳到1.2或2.0版），应作为修正案，与复审材料合并提交。具体的修正案审查要求详见《修正案审查申请流程说明》。</w:t>
      </w:r>
    </w:p>
    <w:p w14:paraId="5FC14290">
      <w:r>
        <w:t>要求：</w:t>
      </w:r>
    </w:p>
    <w:p w14:paraId="35BD3421">
      <w:r>
        <w:t>1）《伦理审查申请及受理表》中审查类别同时勾选“复审+修正案”；</w:t>
      </w:r>
    </w:p>
    <w:p w14:paraId="6D1BADA9">
      <w:r>
        <w:t>2）下载Form 10《修正案审查（修正明细）》，填写修改原因和修改内容。</w:t>
      </w:r>
    </w:p>
    <w:p w14:paraId="1EA382EB">
      <w:r>
        <w:t>3）复审合并修正案时，只需递交一套研究材料（痕迹版+正式版）和两张修正明细：Form 8《复审修正明细及审查意见回复函》及Form 10《修正案审查（修正明细）》</w:t>
      </w:r>
    </w:p>
    <w:p w14:paraId="7094002B">
      <w:r>
        <w:t>4）在Form 8中书写伦理委员会要求修改的内容对比，在Form 10中书写研究者自己想要修改的内容对比。</w:t>
      </w:r>
    </w:p>
    <w:p w14:paraId="124588F8">
      <w:r>
        <w:t>5）研究者应在递交的痕迹版文件中分不同标注方式区分“研究者自主修正内容”和“伦理委员会要求修正的内容”，并在Form8和Form 10中各自注明标注方式。</w:t>
      </w:r>
    </w:p>
    <w:p w14:paraId="3FB29D6C">
      <w:r>
        <w:t>二、审查形式说明：重审为会议审查，需由PI亲自到会说明，会前将重审PPT发送至</w:t>
      </w:r>
      <w:r>
        <w:rPr>
          <w:rFonts w:hint="eastAsia"/>
          <w:lang w:val="en-US" w:eastAsia="zh-CN"/>
        </w:rPr>
        <w:t>jzxirb</w:t>
      </w:r>
      <w:r>
        <w:t>@163.com， （重审PPT须使用本委员会提供的统一模板，至</w:t>
      </w:r>
      <w:r>
        <w:rPr>
          <w:rFonts w:hint="eastAsia"/>
        </w:rPr>
        <w:t>https://www.jdhospital.com/</w:t>
      </w:r>
      <w:r>
        <w:t>，下载Form 7 《重审/修正案会议汇报PPT模板》，根据要求制作PPT）</w:t>
      </w:r>
    </w:p>
    <w:p w14:paraId="1ADB6356">
      <w:r>
        <w:t>三、审查时间说明：自伦理委员会秘书受理日期起（申请表签字受理），5个工作日内由秘书转发主审材料并由主审委员完成修正后同意的复审审查，一般一周后可至伦理办公室询问审查结果，或有办公室通知PI领取批件/审查意见。</w:t>
      </w:r>
    </w:p>
    <w:p w14:paraId="6B1AAED9">
      <w:r>
        <w:t>备注：若未根据要求送审，伦理委员会将不予以受理。</w:t>
      </w:r>
    </w:p>
    <w:p w14:paraId="080794FA">
      <w:pPr>
        <w:jc w:val="left"/>
        <w:rPr>
          <w:rFonts w:asciiTheme="minorEastAsia" w:hAnsiTheme="minorEastAsia" w:cstheme="minorEastAsia"/>
          <w:sz w:val="24"/>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xNzgwYmRhODBiNzJmYjRjMDhlNzRjMDkyZDFjMTMifQ=="/>
  </w:docVars>
  <w:rsids>
    <w:rsidRoot w:val="0D290A25"/>
    <w:rsid w:val="00442EDF"/>
    <w:rsid w:val="008417F1"/>
    <w:rsid w:val="00CE3592"/>
    <w:rsid w:val="03F73ADA"/>
    <w:rsid w:val="062B1417"/>
    <w:rsid w:val="0D290A25"/>
    <w:rsid w:val="0F9F375E"/>
    <w:rsid w:val="10654A8A"/>
    <w:rsid w:val="16AC5C99"/>
    <w:rsid w:val="1B0C1131"/>
    <w:rsid w:val="1F560E6E"/>
    <w:rsid w:val="245A426A"/>
    <w:rsid w:val="24B4080E"/>
    <w:rsid w:val="269A01B2"/>
    <w:rsid w:val="26C15411"/>
    <w:rsid w:val="281B7B23"/>
    <w:rsid w:val="293D1892"/>
    <w:rsid w:val="3C7E6605"/>
    <w:rsid w:val="41F56184"/>
    <w:rsid w:val="47B72674"/>
    <w:rsid w:val="499D0402"/>
    <w:rsid w:val="4C600FB8"/>
    <w:rsid w:val="52CA7EC7"/>
    <w:rsid w:val="57326B02"/>
    <w:rsid w:val="6F4B64CF"/>
    <w:rsid w:val="72794BBC"/>
    <w:rsid w:val="7BAA1ABA"/>
    <w:rsid w:val="7BE02171"/>
    <w:rsid w:val="7C9C6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1426</Words>
  <Characters>1565</Characters>
  <Lines>11</Lines>
  <Paragraphs>3</Paragraphs>
  <TotalTime>1</TotalTime>
  <ScaleCrop>false</ScaleCrop>
  <LinksUpToDate>false</LinksUpToDate>
  <CharactersWithSpaces>1584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2021-06-09T03:10:00Z</dcterms:created>
  <dc:creator>Administrator</dc:creator>
  <cp:lastModifiedBy>LGS</cp:lastModifiedBy>
  <cp:lastPrinted>2021-06-09T03:04:00Z</cp:lastPrinted>
  <dcterms:modified xsi:type="dcterms:W3CDTF">2024-08-08T00:04:36Z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250EFFEAC54F48EFBBC6425ABE95EF4A_13</vt:lpwstr>
  </property>
</Properties>
</file>