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患者满意度测评服务项目采购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院患者满意度测评服务项目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1、项目编号JZX-2024-005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患者满意度测评服务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24日</w:t>
      </w:r>
    </w:p>
    <w:p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jBjMmYwODg5NmNkNWNhZmI4N2RlZTQ1MGJiZDIifQ=="/>
  </w:docVars>
  <w:rsids>
    <w:rsidRoot w:val="1AA24D9F"/>
    <w:rsid w:val="07011CC2"/>
    <w:rsid w:val="07644792"/>
    <w:rsid w:val="09284798"/>
    <w:rsid w:val="0D85092C"/>
    <w:rsid w:val="0F2B6FD9"/>
    <w:rsid w:val="13B50945"/>
    <w:rsid w:val="183C240D"/>
    <w:rsid w:val="1AA24D9F"/>
    <w:rsid w:val="28DA2E89"/>
    <w:rsid w:val="2A4254F9"/>
    <w:rsid w:val="2D1F32F4"/>
    <w:rsid w:val="323B4D81"/>
    <w:rsid w:val="34B70380"/>
    <w:rsid w:val="35072B17"/>
    <w:rsid w:val="3AE174A3"/>
    <w:rsid w:val="3B6A72EA"/>
    <w:rsid w:val="43446334"/>
    <w:rsid w:val="44A84E71"/>
    <w:rsid w:val="477DCE1E"/>
    <w:rsid w:val="48400056"/>
    <w:rsid w:val="4A091277"/>
    <w:rsid w:val="573E1E21"/>
    <w:rsid w:val="5B487E91"/>
    <w:rsid w:val="5CF9550F"/>
    <w:rsid w:val="5EFEBDE8"/>
    <w:rsid w:val="65926A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2024-01-24T00:59:27Z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C4E87672D4D54D708435D5084E71C1AE_12</vt:lpwstr>
  </property>
</Properties>
</file>