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Toc11243876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征求供应商信息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（嘉定区中心医院污水处理--氯酸钠采购公告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院氯酸钠项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目采购进行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氯酸钠项目采购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2、项目清单</w:t>
      </w:r>
    </w:p>
    <w:tbl>
      <w:tblPr>
        <w:tblStyle w:val="6"/>
        <w:tblW w:w="90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11"/>
        <w:gridCol w:w="1300"/>
        <w:gridCol w:w="730"/>
        <w:gridCol w:w="1690"/>
        <w:gridCol w:w="102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7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 w:eastAsia="宋体"/>
                <w:b w:val="0"/>
                <w:bCs/>
                <w:sz w:val="22"/>
                <w:szCs w:val="22"/>
              </w:rPr>
              <w:t>序号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产品</w:t>
            </w:r>
            <w:r>
              <w:rPr>
                <w:rFonts w:ascii="宋体" w:hAnsi="宋体" w:eastAsia="宋体"/>
                <w:b w:val="0"/>
                <w:bCs/>
                <w:sz w:val="22"/>
                <w:szCs w:val="22"/>
              </w:rPr>
              <w:t>名称</w:t>
            </w:r>
          </w:p>
        </w:tc>
        <w:tc>
          <w:tcPr>
            <w:tcW w:w="13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eastAsia="宋体"/>
                <w:b w:val="0"/>
                <w:sz w:val="22"/>
              </w:rPr>
              <w:t xml:space="preserve">规格 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lang w:val="en-US" w:eastAsia="zh-CN"/>
              </w:rPr>
              <w:t>单位</w:t>
            </w:r>
          </w:p>
        </w:tc>
        <w:tc>
          <w:tcPr>
            <w:tcW w:w="169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lang w:val="en-US" w:eastAsia="zh-CN"/>
              </w:rPr>
              <w:t>上限单价（元）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lang w:val="en-US" w:eastAsia="zh-CN"/>
              </w:rPr>
              <w:t>计划数量（1年）</w:t>
            </w:r>
          </w:p>
        </w:tc>
        <w:tc>
          <w:tcPr>
            <w:tcW w:w="20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7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</w:rPr>
              <w:t>氯酸钠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25公斤/包或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50公斤/包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吨</w:t>
            </w:r>
          </w:p>
        </w:tc>
        <w:tc>
          <w:tcPr>
            <w:tcW w:w="169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9850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15吨</w:t>
            </w:r>
          </w:p>
        </w:tc>
        <w:tc>
          <w:tcPr>
            <w:tcW w:w="20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含量99.5%，</w:t>
            </w:r>
          </w:p>
          <w:p>
            <w:pPr>
              <w:spacing w:line="440" w:lineRule="exact"/>
              <w:jc w:val="center"/>
              <w:rPr>
                <w:rFonts w:hint="default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二氧化氯专用</w:t>
            </w:r>
          </w:p>
        </w:tc>
      </w:tr>
    </w:tbl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3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、项目期限：1年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1、符合《中华人民共和国政府采购法》第二十二条规定的供应商;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2、根据《上海市政府采购供应商登记及诚信管理办法》已登记入库的供应商;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3、投标单位经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有相应的经营范围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，并承担过相关业务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，具备危险化学品经营许可证；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4、未被列入“信用中国”网站(www.creditchina.gov.cn)失信被执行人名单，重大税收违法案件当事人名单和中国政府采购网(www.ccgp.gov.cn)政府采购严重违法失信行为记录名单的供应商;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5、单位负责人为同一人或者存在直接控股、管理关系的不同供应商，不得参加同一合同项下的政府采购活动。本项目不接受联合体投标。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25"/>
        <w:textAlignment w:val="auto"/>
        <w:rPr>
          <w:b w:val="0"/>
          <w:bCs w:val="0"/>
          <w:kern w:val="0"/>
          <w:sz w:val="24"/>
          <w:szCs w:val="24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2DB20D5F"/>
    <w:rsid w:val="3E705CC1"/>
    <w:rsid w:val="47F40975"/>
    <w:rsid w:val="552265B5"/>
    <w:rsid w:val="55BA1450"/>
    <w:rsid w:val="5D754552"/>
    <w:rsid w:val="62AE4E3D"/>
    <w:rsid w:val="751C05C0"/>
    <w:rsid w:val="7F0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4">
    <w:name w:val="Normal Indent"/>
    <w:basedOn w:val="1"/>
    <w:qFormat/>
    <w:uiPriority w:val="0"/>
    <w:pPr>
      <w:widowControl/>
      <w:spacing w:line="360" w:lineRule="auto"/>
      <w:ind w:firstLine="510" w:firstLineChars="200"/>
    </w:pPr>
    <w:rPr>
      <w:rFonts w:eastAsia="仿宋"/>
      <w:sz w:val="24"/>
      <w:szCs w:val="20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929</Characters>
  <Lines>0</Lines>
  <Paragraphs>0</Paragraphs>
  <TotalTime>3</TotalTime>
  <ScaleCrop>false</ScaleCrop>
  <LinksUpToDate>false</LinksUpToDate>
  <CharactersWithSpaces>934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2023-05-31T07:09:00Z</dcterms:created>
  <dc:creator>user</dc:creator>
  <cp:lastModifiedBy>绽放</cp:lastModifiedBy>
  <dcterms:modified xsi:type="dcterms:W3CDTF">2023-12-14T06:45:37Z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0B24C7AAE161417BA055452D21C2413C_12</vt:lpwstr>
  </property>
</Properties>
</file>