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0" w:name="_Toc11243876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征求供应商信息</w:t>
      </w:r>
      <w:bookmarkEnd w:id="0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（嘉定区中心医院盐酸、次氯酸钠项目采购）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根据《中华人民共和国政府采购法》之规定，对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嘉定区中心医院盐酸、次氯酸钠项目采购进行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询比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现欢迎合格的厂商和供货商参加投标。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一、项目内容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盐酸、次氯酸钠项目采购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二、合格的投标单位必须具备以下条件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1、符合《中华人民共和国政府采购法》第二十二条规定的供应商;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2、根据《上海市政府采购供应商登记及诚信管理办法》已登记入库的供应商;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3、投标单位经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有相应的经营范围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，并承担过相关业务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，具备危险化学品经营许可证；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4、未被列入“信用中国”网站(www.creditchina.gov.cn)失信被执行人名单，重大税收违法案件当事人名单和中国政府采购网(www.ccgp.gov.cn)政府采购严重违法失信行为记录名单的供应商;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5、单位负责人为同一人或者存在直接控股、管理关系的不同供应商，不得参加同一合同项下的政府采购活动。本项目不接受联合体投标。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三、领取询比文件时需提交的资料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符合上述条件的投标申请人在报名时需携带下列资料(原件验看);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1、通过年检合格有效的企业法人营业执照、税务登记证、组织机构代码证，或三证合一的营业执照;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2、法定代表人授权委托书原件(附委托人及被委托人身份证正反面复印件)，委托人及被委托人身份证原件。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以上资料必须是真实的，否则不予通过报名资格审查。对未通过报名的申请人，本单位将不作任何解释。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四、领取</w:t>
      </w:r>
      <w:r>
        <w:rPr>
          <w:rFonts w:hint="eastAsia" w:hAnsi="宋体" w:cs="宋体"/>
          <w:b/>
          <w:bCs/>
          <w:kern w:val="0"/>
          <w:sz w:val="24"/>
          <w:szCs w:val="24"/>
          <w:lang w:val="en-US" w:eastAsia="zh-CN"/>
        </w:rPr>
        <w:t>询比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文件的时间、地点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1、时间:请于2023年6月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日上午8:30-11:00，下午14:00-16:30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(北京时间、双休日及法定节假日除外);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2、地点:上海市嘉定区中心医院(上海市嘉定区城北路1号);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响应截止时间和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时间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响应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截止时间：20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日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0，迟到或不符合规定的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询比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文件恕不接受。</w:t>
      </w:r>
      <w:bookmarkStart w:id="1" w:name="_GoBack"/>
      <w:bookmarkEnd w:id="1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2、询比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另行通知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六、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响应文件递交地点和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询比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地点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响应文件递交地点：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嘉定区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城北路1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老住院大楼724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2、询比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地点：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另行通知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七、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其他要求：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人须保证报名及获得文件需提交的资料和所填写内容真实、完整、有效、一致，如因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人递交虚假材料或填写信息错误导致的与本项目有关的任何损失由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人承担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八、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联系方式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/>
          <w:spacing w:val="-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pacing w:val="-2"/>
          <w:sz w:val="24"/>
          <w:szCs w:val="24"/>
        </w:rPr>
        <w:t>上海市嘉定区城北路1号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-2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pacing w:val="80"/>
          <w:kern w:val="0"/>
          <w:sz w:val="24"/>
          <w:szCs w:val="24"/>
        </w:rPr>
        <w:t>电话号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码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67073466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pacing w:val="180"/>
          <w:kern w:val="0"/>
          <w:sz w:val="24"/>
          <w:szCs w:val="24"/>
        </w:rPr>
        <w:t>联系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孙老师</w:t>
      </w:r>
    </w:p>
    <w:p>
      <w:pPr>
        <w:pStyle w:val="4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25"/>
        <w:textAlignment w:val="auto"/>
        <w:rPr>
          <w:b w:val="0"/>
          <w:bCs w:val="0"/>
          <w:kern w:val="0"/>
          <w:sz w:val="24"/>
          <w:szCs w:val="24"/>
        </w:rPr>
      </w:pPr>
    </w:p>
    <w:p>
      <w:pPr>
        <w:pStyle w:val="2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NmM5MGE4YzgwYjMwYzRkMGUyYzUwMGU3MTQxYjEifQ=="/>
  </w:docVars>
  <w:rsids>
    <w:rsidRoot w:val="00000000"/>
    <w:rsid w:val="3E705CC1"/>
    <w:rsid w:val="47F40975"/>
    <w:rsid w:val="552265B5"/>
    <w:rsid w:val="55BA1450"/>
    <w:rsid w:val="62AE4E3D"/>
    <w:rsid w:val="751C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520" w:lineRule="exact"/>
    </w:pPr>
    <w:rPr>
      <w:rFonts w:ascii="宋体" w:cs="宋体"/>
      <w:kern w:val="0"/>
      <w:sz w:val="28"/>
      <w:szCs w:val="28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852</Words>
  <Characters>929</Characters>
  <Lines>0</Lines>
  <Paragraphs>0</Paragraphs>
  <TotalTime>26</TotalTime>
  <ScaleCrop>false</ScaleCrop>
  <LinksUpToDate>false</LinksUpToDate>
  <CharactersWithSpaces>934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2023-05-31T07:09:00Z</dcterms:created>
  <dc:creator>user</dc:creator>
  <cp:lastModifiedBy>绽放</cp:lastModifiedBy>
  <dcterms:modified xsi:type="dcterms:W3CDTF">2023-05-31T14:04:39Z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0B24C7AAE161417BA055452D21C2413C_12</vt:lpwstr>
  </property>
</Properties>
</file>